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1E" w:rsidRDefault="00C8331E">
      <w:pPr>
        <w:rPr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11 марта 2014 года в Удмуртском государственном университете состоялось Заседание Учебно-методического Совета по социологии и социальной антропологии. Заседание проходило в рамках Всероссийской научно-практической конференции «Социология и образование: проблемы и перспективы», посвященной 25-летию социологического образования в России и 20-летию социологического образования в Удмуртии.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Заседание УМС, проходившее в роскошном Екатерининском зале новой межвузовской библиотеки, было посвящено широкому кругу вопросов, направленных на решение проблем социологического образования, как на федеральном, так и на региональном уровне. Однако дискуссия развернулась не только вокруг проблем социологического образования, но и по вопросам университетского образования в целом, нового законодательства, форм его реализации.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В заседании участвовало более 40 участников, из них 16 из университетов России, в том числе: Московский государственный университет имени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М.В.Ломоносова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Казанский национальный исследовательский технологический университет, Уральский государственный педагогический университет, Ульяновский государственный университет, Вятский государственный гуманитарный университет, НОУ ВПО «Университет управления «ТИСБИ» (Набережные Челны), Волгоградский государственный университет, Удмуртский филиал Института философии и права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УрО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РАН. В работе заседания также приняли участие представители администрации, специалисты различных подразделений Удмуртского государственного университета – Учебно-методического отдела, Управления международных связей, приемной комиссии, Центра занятости студентов, деканы факультетов и директора институтов.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Открыл работу заседания заместитель Председателя УМС по социологии и социальной антропологии УМО по классическому университетскому образованию Зырянов В.В., который предоставил слово для приветствия проректору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УдГУ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по учебной работе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Кибардину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М.М.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Затем участники заседания приступили к работе по повестке дня. Первый вопрос был посвящен сетевым формам образования. Эта технология, введенная в правовое поле новым Законом об образовании, в настоящее время вызывает наибольшее количество споров и разночтений. Тем не менее, опыт взаимодействия с другими вузами, в том числе с зарубежными, в той или иной форме накоплен российскими университетами. Первый докладчик –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Мария Ивановна </w:t>
      </w:r>
      <w:proofErr w:type="spellStart"/>
      <w:r>
        <w:rPr>
          <w:b/>
          <w:bCs/>
          <w:color w:val="000000"/>
          <w:sz w:val="21"/>
          <w:szCs w:val="21"/>
          <w:shd w:val="clear" w:color="auto" w:fill="FFFFFF"/>
        </w:rPr>
        <w:t>Безносова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начальник Управления международных связей Удмуртского госуниверситета, рассказала об опыте совместной образовательной программы с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Гранадским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университетом, которая реализуется на филологическом факультете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УдГУ</w:t>
      </w:r>
      <w:proofErr w:type="spellEnd"/>
      <w:r>
        <w:rPr>
          <w:color w:val="000000"/>
          <w:sz w:val="21"/>
          <w:szCs w:val="21"/>
          <w:shd w:val="clear" w:color="auto" w:fill="FFFFFF"/>
        </w:rPr>
        <w:t>. Этот опыт оказался полезным не только для разработчиков, поэтому ее доклад вызвал много вопросов со стороны представителей различных вузов.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В продолжение этой темы,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1"/>
          <w:szCs w:val="21"/>
          <w:shd w:val="clear" w:color="auto" w:fill="FFFFFF"/>
        </w:rPr>
        <w:t>Темнова</w:t>
      </w:r>
      <w:proofErr w:type="spellEnd"/>
      <w:r>
        <w:rPr>
          <w:b/>
          <w:bCs/>
          <w:color w:val="000000"/>
          <w:sz w:val="21"/>
          <w:szCs w:val="21"/>
          <w:shd w:val="clear" w:color="auto" w:fill="FFFFFF"/>
        </w:rPr>
        <w:t xml:space="preserve"> Лариса Витальевна</w:t>
      </w:r>
      <w:r>
        <w:rPr>
          <w:color w:val="000000"/>
          <w:sz w:val="21"/>
          <w:szCs w:val="21"/>
          <w:shd w:val="clear" w:color="auto" w:fill="FFFFFF"/>
        </w:rPr>
        <w:t xml:space="preserve">, д. психол. наук, проф., зав. НИЛ информационно-образовательных технологий социологического факультета МГУ имени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М.В.Ломоносова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рассказала о технологиях организации сетевого взаимодействия российских и зарубежных университетов. Сетевая форма реализации образовательных программ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деятельность. Лариса Витальевна осветила вопросы нормативно-правового обеспечения, терминологические аспекты, опыт применения сетевых форм в российских университетах. Основными нормами, регулирующими реализацию сетевых форм, являются Закон "Об образовании в РФ" 273-ФЗ, порядок организации и осуществления образовательной деятельности по программам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бакалавриата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программам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специалитета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программам магистратуры, Федеральные государственные стандарты. Об этих документах, и о том, как они позволяют реализовывать сетевые технологии в вузах, шла речь в первую очередь. Также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Темнова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Л.В. дала рекомендации о том, какими могут быть локальные документы, например, договора о сотрудничестве, вузовские документы по реализации учебного процесса. Был использован термин «трансграничное высшее образование», получаемое в тех случаях, когда преподаватели, студенты, </w:t>
      </w:r>
      <w:r>
        <w:rPr>
          <w:color w:val="000000"/>
          <w:sz w:val="21"/>
          <w:szCs w:val="21"/>
          <w:shd w:val="clear" w:color="auto" w:fill="FFFFFF"/>
        </w:rPr>
        <w:lastRenderedPageBreak/>
        <w:t>программы, учреждения/поставщики либо учебные материалы пересекают границы национальной юрисдикции. Также были рассмотрены условия реализации сетевой формы обучения, модели сетевого взаимодействия. Одной из распространенных форм реализации сетевых технологий является совместная образовательная программа. В докладе рассказывалось об основных факторах, способах ее применения и об опыте реализации за рубежом и в России.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Также были выделены основные проблемы организации сетевого обучения, такие, как, например, отсутствие системных механизмов координации деятельности вузов, а также механизмов контроля за их совместной деятельностью и ее оценки, слабая информационная поддержка сетевого взаимодействия, низкий уровень понимания основных целей данного процесса и распространения результатов сотрудничества, ограниченное включение в реализацию проектов собственных ресурсов вузов (финансовых, кадровых, инфраструктурных), отсутствие необходимого правового обеспечения. Решение подобных вопросов отчасти ложится на плечи учебно-методических объедине6ний, и, конечно, самих вузов. Этот доклад, как и предыдущий, также вызвал множество вопросов, реплик и выступлений, причём, наиболее активны были деканы факультетов, имеющих опыт международного сотрудничества.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Следующим вопросом заседания был вопрос, касающийся общественно-профессиональной аккредитации. Выступивший с сообщением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>Владимир Викторович Зырянов</w:t>
      </w:r>
      <w:r>
        <w:rPr>
          <w:color w:val="000000"/>
          <w:sz w:val="21"/>
          <w:szCs w:val="21"/>
          <w:shd w:val="clear" w:color="auto" w:fill="FFFFFF"/>
        </w:rPr>
        <w:t xml:space="preserve">, заместитель декана по УМО социологического факультета МГУ имени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М.В.Ломоносова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рассказал об опыте ее проведения Ассоциацией классических университетов России в прошлом году в рамках Государственного контракта по апробации модели профессионально-общественной аккредитации программ высшего профессионального образования по направлению 040100 «Социология». В выступлении были освещены основные аспекты профессионально-общественной аккредитации, представлены основные этапы выполнения Государственного контракта, специфику разработанной специалистами МГУ модели профессионально-общественной аккредитации.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 xml:space="preserve">Не вызывает сомнений, что проведение профессиональной аккредитации способствует повышению качества образования. Однако в настоящее время вопрос о соотнесении профессионально-общественной и государственной аккредитации остается открытым. Вместе с тем, учет результатов общественно-профессиональной аккредитации в рамках государственной аккредитации требует создания системы общественно-профессиональной аккредитации. Владимир Викторович рассказал об опыте проведения ПОА в вузах, отобранных для проведения апробации (МГУ имени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М.В.Ломоносова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Саратовский государственный университет, Алтайский государственный университет, Тверской государственный университет, Московский государственный гуманитарный университет имени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М.А.Шолохова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>). Полученный в ходе проведения апробации опыт будет использован разработчиками модели для проведения ПОА в дальнейшей практике аккредитации.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Затем выступила декан факультета социологии и философии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>Марина Николаевна Макарова</w:t>
      </w:r>
      <w:r>
        <w:rPr>
          <w:color w:val="000000"/>
          <w:sz w:val="21"/>
          <w:szCs w:val="21"/>
          <w:shd w:val="clear" w:color="auto" w:fill="FFFFFF"/>
        </w:rPr>
        <w:t>. Она рассказала о формах взаимодействия с работодателями при подготовке студентов-социологов, о взаимодействии научной и образовательной составляющей в деятельности Центра социальных исследований. Она привела примеры многочисленных исследовательских проектов, осуществленных Центром за последние годы по заказу государственных и муниципальных органов власти республики, коммерческих организаций, различных подразделений Удмуртского государственного университета. В реализации всех этих проектов активное участие принимают студенты.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Милана Васильевна </w:t>
      </w:r>
      <w:proofErr w:type="spellStart"/>
      <w:r>
        <w:rPr>
          <w:b/>
          <w:bCs/>
          <w:color w:val="000000"/>
          <w:sz w:val="21"/>
          <w:szCs w:val="21"/>
          <w:shd w:val="clear" w:color="auto" w:fill="FFFFFF"/>
        </w:rPr>
        <w:t>Семиволкова</w:t>
      </w:r>
      <w:proofErr w:type="spellEnd"/>
      <w:r>
        <w:rPr>
          <w:color w:val="000000"/>
          <w:sz w:val="21"/>
          <w:szCs w:val="21"/>
          <w:shd w:val="clear" w:color="auto" w:fill="FFFFFF"/>
        </w:rPr>
        <w:t>, начальник Аналитического отдела Информационно-аналитического управления аппарата Главы муниципального образования «Город Ижевск» и Городской думы города Ижевска, рассказала о более чем десятилетнем сотрудничестве с факультетом социологии и философии Удмуртского государственного университета в рамках практики студентов и совместного проведения исследований по городской проблематике.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</w:p>
    <w:p w:rsidR="00267E52" w:rsidRDefault="00C8331E">
      <w:bookmarkStart w:id="0" w:name="_GoBack"/>
      <w:bookmarkEnd w:id="0"/>
      <w:r>
        <w:rPr>
          <w:color w:val="000000"/>
          <w:sz w:val="21"/>
          <w:szCs w:val="21"/>
          <w:shd w:val="clear" w:color="auto" w:fill="FFFFFF"/>
        </w:rPr>
        <w:lastRenderedPageBreak/>
        <w:t>В конце заседания слово вновь взял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rPr>
          <w:b/>
          <w:bCs/>
          <w:color w:val="000000"/>
          <w:sz w:val="21"/>
          <w:szCs w:val="21"/>
          <w:shd w:val="clear" w:color="auto" w:fill="FFFFFF"/>
        </w:rPr>
        <w:t>В.В. Зырянов</w:t>
      </w:r>
      <w:r>
        <w:rPr>
          <w:color w:val="000000"/>
          <w:sz w:val="21"/>
          <w:szCs w:val="21"/>
          <w:shd w:val="clear" w:color="auto" w:fill="FFFFFF"/>
        </w:rPr>
        <w:t>. Сначала он сделал сообщение на тему «О реализации программ высшего образования после вступления в силу ФЗ-273 «Об образовании в РФ». А затем ответил на многочисленные вопросы, касающиеся основных принципов обновления ФГОС, требований к структуре и условиям реализации образовательных программ, в том числе по аспирантуре.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shd w:val="clear" w:color="auto" w:fill="FFFFFF"/>
        </w:rPr>
        <w:t>При подведении итогов заседания участниками были высказаны пожелания проводить заседания УМС в региональных вузах на регулярной основе, что позволит активнее расширять сотрудничество вузов, находящихся в близлежащих регионах, обмениваться опытом. Так, двухдневная насыщенная программа конференции, проведенной в Удмуртском госуниверситете, дала новый импульс сотрудничеству университета с вузами региона в области социологического образования, совместных проектов и исследований.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</w:p>
    <w:sectPr w:rsidR="002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8"/>
    <w:rsid w:val="00267E52"/>
    <w:rsid w:val="00C8331E"/>
    <w:rsid w:val="00E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F18B-AB0C-4F72-8B48-D01F3CD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Nomy</dc:creator>
  <cp:keywords/>
  <dc:description/>
  <cp:lastModifiedBy>Nomy</cp:lastModifiedBy>
  <cp:revision>2</cp:revision>
  <dcterms:created xsi:type="dcterms:W3CDTF">2015-01-07T10:20:00Z</dcterms:created>
  <dcterms:modified xsi:type="dcterms:W3CDTF">2015-01-07T10:20:00Z</dcterms:modified>
</cp:coreProperties>
</file>